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0280" w14:textId="3005A458" w:rsidR="00D7232A" w:rsidRPr="00791D55" w:rsidRDefault="00D7232A" w:rsidP="00D7232A">
      <w:pPr>
        <w:pBdr>
          <w:bottom w:val="single" w:sz="18" w:space="0" w:color="auto"/>
        </w:pBd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64706" wp14:editId="67FCADE7">
            <wp:simplePos x="0" y="0"/>
            <wp:positionH relativeFrom="margin">
              <wp:posOffset>-624254</wp:posOffset>
            </wp:positionH>
            <wp:positionV relativeFrom="page">
              <wp:posOffset>290146</wp:posOffset>
            </wp:positionV>
            <wp:extent cx="993140" cy="861646"/>
            <wp:effectExtent l="0" t="0" r="0" b="0"/>
            <wp:wrapNone/>
            <wp:docPr id="1" name="Picture 1" descr="U:\Logo\adams_county_healthd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\adams_county_healthde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2" t="12910" r="13725"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4" cy="8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D55">
        <w:rPr>
          <w:rFonts w:ascii="Calibri" w:hAnsi="Calibri"/>
          <w:sz w:val="20"/>
          <w:szCs w:val="20"/>
        </w:rPr>
        <w:t xml:space="preserve">425 E. Main Othello, WA  99344 (509) 488-2031   </w:t>
      </w:r>
      <w:r>
        <w:rPr>
          <w:rFonts w:ascii="Calibri" w:hAnsi="Calibri"/>
          <w:sz w:val="20"/>
          <w:szCs w:val="20"/>
        </w:rPr>
        <w:t xml:space="preserve">                       </w:t>
      </w:r>
      <w:r w:rsidRPr="00791D55">
        <w:rPr>
          <w:rFonts w:ascii="Calibri" w:hAnsi="Calibri"/>
          <w:sz w:val="20"/>
          <w:szCs w:val="20"/>
        </w:rPr>
        <w:t>108 W. Main Ritzville, WA  99169 (509) 659-3315</w:t>
      </w:r>
    </w:p>
    <w:p w14:paraId="7819F8A4" w14:textId="3388798F" w:rsidR="00D7232A" w:rsidRDefault="00D7232A" w:rsidP="00D7232A">
      <w:pPr>
        <w:pStyle w:val="Heading1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C</w:t>
      </w:r>
      <w:r w:rsidRPr="00D7232A">
        <w:rPr>
          <w:rFonts w:ascii="Calibri" w:hAnsi="Calibri"/>
          <w:sz w:val="48"/>
          <w:szCs w:val="48"/>
        </w:rPr>
        <w:t xml:space="preserve">omunicado de los </w:t>
      </w:r>
      <w:r>
        <w:rPr>
          <w:rFonts w:ascii="Calibri" w:hAnsi="Calibri"/>
          <w:sz w:val="48"/>
          <w:szCs w:val="48"/>
        </w:rPr>
        <w:t>M</w:t>
      </w:r>
      <w:r w:rsidRPr="00D7232A">
        <w:rPr>
          <w:rFonts w:ascii="Calibri" w:hAnsi="Calibri"/>
          <w:sz w:val="48"/>
          <w:szCs w:val="48"/>
        </w:rPr>
        <w:t xml:space="preserve">edios de </w:t>
      </w:r>
      <w:r>
        <w:rPr>
          <w:rFonts w:ascii="Calibri" w:hAnsi="Calibri"/>
          <w:sz w:val="48"/>
          <w:szCs w:val="48"/>
        </w:rPr>
        <w:t>Prensa</w:t>
      </w:r>
    </w:p>
    <w:p w14:paraId="44A9A001" w14:textId="61EB3340" w:rsidR="00D7232A" w:rsidRPr="00D7232A" w:rsidRDefault="00D7232A" w:rsidP="00D7232A">
      <w:pPr>
        <w:jc w:val="center"/>
        <w:rPr>
          <w:rFonts w:ascii="Calibri" w:hAnsi="Calibri"/>
          <w:b/>
          <w:bCs/>
          <w:color w:val="C00000"/>
        </w:rPr>
      </w:pPr>
      <w:r w:rsidRPr="00D7232A">
        <w:rPr>
          <w:rFonts w:ascii="Calibri" w:hAnsi="Calibri"/>
          <w:b/>
          <w:bCs/>
          <w:color w:val="C00000"/>
        </w:rPr>
        <w:t>Esta información solo puede divulgarse después de la revisión y firma del Administrador</w:t>
      </w:r>
    </w:p>
    <w:p w14:paraId="2CBDED66" w14:textId="1B16704C" w:rsidR="001C358E" w:rsidRDefault="00D7232A" w:rsidP="00D7232A">
      <w:pPr>
        <w:jc w:val="center"/>
        <w:rPr>
          <w:rFonts w:ascii="Calibri" w:hAnsi="Calibri"/>
          <w:b/>
          <w:bCs/>
          <w:color w:val="C00000"/>
        </w:rPr>
      </w:pPr>
      <w:r w:rsidRPr="00D7232A">
        <w:rPr>
          <w:rFonts w:ascii="Calibri" w:hAnsi="Calibri"/>
          <w:b/>
          <w:bCs/>
          <w:color w:val="C00000"/>
        </w:rPr>
        <w:t>(o designado) y/o Oficial de Salud.</w:t>
      </w:r>
    </w:p>
    <w:p w14:paraId="46DEE49B" w14:textId="6FF4F5B5" w:rsidR="00D7232A" w:rsidRDefault="00D7232A" w:rsidP="00D7232A">
      <w:pPr>
        <w:jc w:val="center"/>
        <w:rPr>
          <w:rFonts w:ascii="Calibri" w:hAnsi="Calibri"/>
          <w:b/>
          <w:bCs/>
          <w:color w:val="C00000"/>
        </w:rPr>
      </w:pPr>
    </w:p>
    <w:p w14:paraId="6EEC31E9" w14:textId="77777777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>Fecha: 5/26/2020</w:t>
      </w:r>
      <w:r w:rsidRPr="00D7232A">
        <w:rPr>
          <w:rFonts w:asciiTheme="majorHAnsi" w:hAnsiTheme="majorHAnsi" w:cstheme="majorHAnsi"/>
          <w:b/>
          <w:bCs/>
        </w:rPr>
        <w:tab/>
      </w:r>
      <w:r w:rsidRPr="00D7232A">
        <w:rPr>
          <w:rFonts w:asciiTheme="majorHAnsi" w:hAnsiTheme="majorHAnsi" w:cstheme="majorHAnsi"/>
          <w:b/>
          <w:bCs/>
        </w:rPr>
        <w:tab/>
      </w:r>
      <w:r w:rsidRPr="00D7232A">
        <w:rPr>
          <w:rFonts w:asciiTheme="majorHAnsi" w:hAnsiTheme="majorHAnsi" w:cstheme="majorHAnsi"/>
          <w:b/>
          <w:bCs/>
        </w:rPr>
        <w:tab/>
      </w:r>
      <w:r w:rsidRPr="00D7232A">
        <w:rPr>
          <w:rFonts w:asciiTheme="majorHAnsi" w:hAnsiTheme="majorHAnsi" w:cstheme="majorHAnsi"/>
          <w:b/>
          <w:bCs/>
        </w:rPr>
        <w:tab/>
      </w:r>
    </w:p>
    <w:p w14:paraId="7643A69C" w14:textId="77777777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 xml:space="preserve">De: Departamento de Salud del Condado de Adams </w:t>
      </w:r>
    </w:p>
    <w:p w14:paraId="1C5BAF54" w14:textId="0D7767A1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 xml:space="preserve">Revisado y aprobado para su liberación por: Alexander L. Brzezny, MD, MPH, FAAFP: </w:t>
      </w:r>
      <w:r>
        <w:rPr>
          <w:rFonts w:asciiTheme="majorHAnsi" w:hAnsiTheme="majorHAnsi" w:cstheme="majorHAnsi"/>
          <w:b/>
          <w:bCs/>
        </w:rPr>
        <w:t xml:space="preserve"> Oficial de Salud de Departamento de Adams</w:t>
      </w:r>
    </w:p>
    <w:p w14:paraId="0461D85A" w14:textId="7C082619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>Para su distribución a: Ritzville-Adams County Journal, Sun Tribune, Adams County PIO, Adams County Health Care Community, Schools, City of Ritzville, City of Othello, Town of Lind,</w:t>
      </w:r>
      <w:r>
        <w:rPr>
          <w:rFonts w:asciiTheme="majorHAnsi" w:hAnsiTheme="majorHAnsi" w:cstheme="majorHAnsi"/>
          <w:b/>
          <w:bCs/>
        </w:rPr>
        <w:t xml:space="preserve"> Aplicacion de lei</w:t>
      </w:r>
      <w:r w:rsidRPr="00D7232A">
        <w:rPr>
          <w:rFonts w:asciiTheme="majorHAnsi" w:hAnsiTheme="majorHAnsi" w:cstheme="majorHAnsi"/>
          <w:b/>
          <w:bCs/>
        </w:rPr>
        <w:t xml:space="preserve"> </w:t>
      </w:r>
    </w:p>
    <w:p w14:paraId="38B595F7" w14:textId="77777777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>Condado de Adams – Todos los usuarios</w:t>
      </w:r>
      <w:r w:rsidRPr="00D7232A">
        <w:rPr>
          <w:rFonts w:asciiTheme="majorHAnsi" w:hAnsiTheme="majorHAnsi" w:cstheme="majorHAnsi"/>
          <w:b/>
          <w:bCs/>
        </w:rPr>
        <w:tab/>
      </w:r>
    </w:p>
    <w:p w14:paraId="2946F116" w14:textId="77777777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  <w:b/>
          <w:bCs/>
        </w:rPr>
        <w:t>Asunto: Departamento de Salud del Condado de Adams - Directiva de Enmascaramiento; Efectivo 5/26/2020</w:t>
      </w:r>
    </w:p>
    <w:p w14:paraId="23831412" w14:textId="46583B6B" w:rsidR="00D7232A" w:rsidRDefault="00D7232A" w:rsidP="00D7232A"/>
    <w:p w14:paraId="04C42B0E" w14:textId="4649D281" w:rsidR="00D7232A" w:rsidRPr="00D7232A" w:rsidRDefault="00D7232A" w:rsidP="00D7232A">
      <w:pPr>
        <w:rPr>
          <w:rFonts w:asciiTheme="majorHAnsi" w:hAnsiTheme="majorHAnsi" w:cstheme="majorHAnsi"/>
          <w:b/>
          <w:bCs/>
        </w:rPr>
      </w:pPr>
      <w:r w:rsidRPr="00D7232A">
        <w:rPr>
          <w:rFonts w:asciiTheme="majorHAnsi" w:hAnsiTheme="majorHAnsi" w:cstheme="majorHAnsi"/>
        </w:rPr>
        <w:t xml:space="preserve">El condado de Adams se trasladó a la Fase 2 del "Enfoque Fasedo para la Reapertura de Washington" del Gobernador Inslee el viernes 22 de mayo de 2020.  Como resultado, los residentes y visitantes del Condado de Adams son más propensos a tener interacciones con miembros que no son miembros del hogar. La frecuencia de los contactos de persona a persona simplemente aumentará a medida que se permita que más empresas se abran y el tráfico en nuestras comunidades aumente de nuevo. Esto, a su vez, aumentará el riesgo de exposición a personas con COVID-19, ya que seguimos viendo esta enfermedad en el condado de Adams. Para responder a esto y a las preocupaciones relacionadas, </w:t>
      </w:r>
      <w:r w:rsidRPr="00D7232A">
        <w:rPr>
          <w:rFonts w:asciiTheme="majorHAnsi" w:hAnsiTheme="majorHAnsi" w:cstheme="majorHAnsi"/>
          <w:b/>
          <w:bCs/>
        </w:rPr>
        <w:t xml:space="preserve">a partir del martes 26 de </w:t>
      </w:r>
      <w:r>
        <w:rPr>
          <w:rFonts w:asciiTheme="majorHAnsi" w:hAnsiTheme="majorHAnsi" w:cstheme="majorHAnsi"/>
          <w:b/>
          <w:bCs/>
        </w:rPr>
        <w:t>M</w:t>
      </w:r>
      <w:r w:rsidRPr="00D7232A">
        <w:rPr>
          <w:rFonts w:asciiTheme="majorHAnsi" w:hAnsiTheme="majorHAnsi" w:cstheme="majorHAnsi"/>
          <w:b/>
          <w:bCs/>
        </w:rPr>
        <w:t xml:space="preserve">ayo de 2020, el Dr. Alexander Brzezny, Oficial de Salud del Condado de Adams, emitió una Directiva de Cobertura facial para el Condado de Adams (adjunta). </w:t>
      </w:r>
    </w:p>
    <w:p w14:paraId="74B45B99" w14:textId="77777777" w:rsidR="00D7232A" w:rsidRPr="00D7232A" w:rsidRDefault="00D7232A" w:rsidP="00D7232A">
      <w:pPr>
        <w:rPr>
          <w:rFonts w:asciiTheme="majorHAnsi" w:hAnsiTheme="majorHAnsi" w:cstheme="majorHAnsi"/>
        </w:rPr>
      </w:pPr>
    </w:p>
    <w:p w14:paraId="462B0088" w14:textId="77777777" w:rsidR="00D7232A" w:rsidRPr="00D7232A" w:rsidRDefault="00D7232A" w:rsidP="00D7232A">
      <w:pPr>
        <w:rPr>
          <w:rFonts w:asciiTheme="majorHAnsi" w:hAnsiTheme="majorHAnsi" w:cstheme="majorHAnsi"/>
        </w:rPr>
      </w:pPr>
      <w:r w:rsidRPr="00D7232A">
        <w:rPr>
          <w:rFonts w:asciiTheme="majorHAnsi" w:hAnsiTheme="majorHAnsi" w:cstheme="majorHAnsi"/>
        </w:rPr>
        <w:t xml:space="preserve">Si el número de personas diagnosticadas con COVID-19 aumenta debido al aumento de los contactos cercanos, podría comprometer la capacidad del Condado para permanecer "abierto" o avanzar a la siguiente fase del plan de reapertura. También podría poner en peligro la capacidad del condado para ofrecer servicios gubernamentales, de salud pública y de salud esenciales al público. </w:t>
      </w:r>
    </w:p>
    <w:p w14:paraId="7AC0364C" w14:textId="77777777" w:rsidR="00D7232A" w:rsidRPr="00D7232A" w:rsidRDefault="00D7232A" w:rsidP="00D7232A">
      <w:pPr>
        <w:rPr>
          <w:rFonts w:asciiTheme="majorHAnsi" w:hAnsiTheme="majorHAnsi" w:cstheme="majorHAnsi"/>
        </w:rPr>
      </w:pPr>
    </w:p>
    <w:p w14:paraId="3AEFFA18" w14:textId="3160A746" w:rsidR="00D7232A" w:rsidRPr="00D7232A" w:rsidRDefault="00D7232A" w:rsidP="00D7232A">
      <w:pPr>
        <w:rPr>
          <w:rFonts w:asciiTheme="majorHAnsi" w:hAnsiTheme="majorHAnsi" w:cstheme="majorHAnsi"/>
        </w:rPr>
      </w:pPr>
      <w:r w:rsidRPr="00D7232A">
        <w:rPr>
          <w:rFonts w:asciiTheme="majorHAnsi" w:hAnsiTheme="majorHAnsi" w:cstheme="majorHAnsi"/>
        </w:rPr>
        <w:t>Uno de los medios clave de transmisión de COVID-19 es por gotas que salen volando de nuestra boca cuando respiramos, hablamos, tosemos o estornudamos. A menudo, COVID-19 se propaga de personas que no saben que lo tienen. Estudios recientes muestran que casi la mitad de las personas diagnosticadas con COVID-19 están infectadas por personas que no tienen ningún síntoma. Las cubiertas faciales o las máscaras de tela son una herramienta que podemos usar para evitar que nuestras gotas salgan volando. De esta manera todos podemos reducir significativamente la propagación de COVID-19 en nuestra comunidad. Incluso una máscara de algodón puede disminuir drásticamente el número de partículas de gotas de virus que provienen de nuestras bocas.</w:t>
      </w:r>
    </w:p>
    <w:p w14:paraId="41EC49EB" w14:textId="56625531" w:rsidR="00D7232A" w:rsidRDefault="00D7232A" w:rsidP="00D7232A">
      <w:pPr>
        <w:rPr>
          <w:rFonts w:asciiTheme="majorHAnsi" w:hAnsiTheme="majorHAnsi" w:cstheme="majorHAnsi"/>
        </w:rPr>
      </w:pPr>
    </w:p>
    <w:p w14:paraId="533E30EA" w14:textId="77777777" w:rsidR="00A92DEC" w:rsidRPr="00A92DEC" w:rsidRDefault="00A92DEC" w:rsidP="00A92DEC">
      <w:pPr>
        <w:rPr>
          <w:rFonts w:asciiTheme="majorHAnsi" w:hAnsiTheme="majorHAnsi" w:cstheme="majorHAnsi"/>
        </w:rPr>
      </w:pPr>
      <w:r w:rsidRPr="00A92DEC">
        <w:rPr>
          <w:rFonts w:asciiTheme="majorHAnsi" w:hAnsiTheme="majorHAnsi" w:cstheme="majorHAnsi"/>
        </w:rPr>
        <w:lastRenderedPageBreak/>
        <w:t xml:space="preserve">La eficacia de las cubiertas faciales para detener COVID-19 se ve muy afectada por el número de personas que los usan. Algunos modelos han demostrado que si el 80% de las personas usan máscaras de tela que son incluso 60% eficaces para bloquear la transmisión del virus podría ser suficiente para detener la propagación de la enfermedad en nuestras comunidades. </w:t>
      </w:r>
    </w:p>
    <w:p w14:paraId="13E75E85" w14:textId="77777777" w:rsidR="00A92DEC" w:rsidRPr="00A92DEC" w:rsidRDefault="00A92DEC" w:rsidP="00A92DEC">
      <w:pPr>
        <w:rPr>
          <w:rFonts w:asciiTheme="majorHAnsi" w:hAnsiTheme="majorHAnsi" w:cstheme="majorHAnsi"/>
        </w:rPr>
      </w:pPr>
    </w:p>
    <w:p w14:paraId="2E21E22B" w14:textId="77777777" w:rsidR="00A92DEC" w:rsidRPr="00A92DEC" w:rsidRDefault="00A92DEC" w:rsidP="00A92DEC">
      <w:pPr>
        <w:rPr>
          <w:rFonts w:asciiTheme="majorHAnsi" w:hAnsiTheme="majorHAnsi" w:cstheme="majorHAnsi"/>
        </w:rPr>
      </w:pPr>
      <w:r w:rsidRPr="00A92DEC">
        <w:rPr>
          <w:rFonts w:asciiTheme="majorHAnsi" w:hAnsiTheme="majorHAnsi" w:cstheme="majorHAnsi"/>
        </w:rPr>
        <w:t xml:space="preserve">Las cubiertas faciales no reemplazan la necesidad de lavado frecuente de manos, limpieza de superficies o distanciamiento físico de al menos 6 pies. Utilizados juntos, las cubiertas faciales, el distanciamiento físico y la limpieza de la superficie con lavado de manos son aún más eficaces para controlar la propagación. </w:t>
      </w:r>
    </w:p>
    <w:p w14:paraId="44F0FF01" w14:textId="6C73B170" w:rsidR="00A92DEC" w:rsidRDefault="00A92DEC" w:rsidP="00A92DEC">
      <w:pPr>
        <w:rPr>
          <w:rFonts w:asciiTheme="majorHAnsi" w:hAnsiTheme="majorHAnsi" w:cstheme="majorHAnsi"/>
        </w:rPr>
      </w:pPr>
    </w:p>
    <w:p w14:paraId="2D6AFAFE" w14:textId="64F18C81" w:rsidR="00A92DEC" w:rsidRDefault="00A92DEC" w:rsidP="00A92DEC">
      <w:pPr>
        <w:rPr>
          <w:rFonts w:asciiTheme="majorHAnsi" w:hAnsiTheme="majorHAnsi" w:cstheme="majorHAnsi"/>
        </w:rPr>
      </w:pPr>
      <w:r w:rsidRPr="00A92DEC">
        <w:rPr>
          <w:rFonts w:asciiTheme="majorHAnsi" w:hAnsiTheme="majorHAnsi" w:cstheme="majorHAnsi"/>
        </w:rPr>
        <w:t xml:space="preserve">Por lo tanto, es importante para todos sin una razón médica </w:t>
      </w:r>
      <w:r>
        <w:rPr>
          <w:rFonts w:asciiTheme="majorHAnsi" w:hAnsiTheme="majorHAnsi" w:cstheme="majorHAnsi"/>
        </w:rPr>
        <w:t>de</w:t>
      </w:r>
      <w:r w:rsidRPr="00A92DEC">
        <w:rPr>
          <w:rFonts w:asciiTheme="majorHAnsi" w:hAnsiTheme="majorHAnsi" w:cstheme="majorHAnsi"/>
        </w:rPr>
        <w:t xml:space="preserve"> usar una cubierta facial para usar una. Es ser un buen ciudadano. Piense en sus vecinos o los extraños de pie en la fila o caminando más allá de usted en la </w:t>
      </w:r>
      <w:r w:rsidR="002A33ED">
        <w:rPr>
          <w:rFonts w:asciiTheme="majorHAnsi" w:hAnsiTheme="majorHAnsi" w:cstheme="majorHAnsi"/>
        </w:rPr>
        <w:t>banqueta</w:t>
      </w:r>
      <w:r w:rsidRPr="00A92DEC">
        <w:rPr>
          <w:rFonts w:asciiTheme="majorHAnsi" w:hAnsiTheme="majorHAnsi" w:cstheme="majorHAnsi"/>
        </w:rPr>
        <w:t>. Es posible que no te preocupe tu salud, pero es posible que</w:t>
      </w:r>
      <w:r w:rsidR="002A33ED">
        <w:rPr>
          <w:rFonts w:asciiTheme="majorHAnsi" w:hAnsiTheme="majorHAnsi" w:cstheme="majorHAnsi"/>
        </w:rPr>
        <w:t xml:space="preserve"> ellos si</w:t>
      </w:r>
      <w:r w:rsidRPr="00A92DEC">
        <w:rPr>
          <w:rFonts w:asciiTheme="majorHAnsi" w:hAnsiTheme="majorHAnsi" w:cstheme="majorHAnsi"/>
        </w:rPr>
        <w:t xml:space="preserve"> lo estén. La Directiva está aquí para mantener a todos a salvo, para mostrarse el respeto y para proteger vidas.</w:t>
      </w:r>
    </w:p>
    <w:p w14:paraId="190A5436" w14:textId="1830281B" w:rsidR="00A92DEC" w:rsidRDefault="00A92DEC" w:rsidP="00A92DEC">
      <w:pPr>
        <w:rPr>
          <w:rFonts w:asciiTheme="majorHAnsi" w:hAnsiTheme="majorHAnsi" w:cstheme="majorHAnsi"/>
        </w:rPr>
      </w:pPr>
    </w:p>
    <w:p w14:paraId="58C001F4" w14:textId="0CF5162E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b/>
          <w:bCs/>
          <w:sz w:val="22"/>
          <w:szCs w:val="22"/>
        </w:rPr>
        <w:t>1. Todas las personas en entornos públicos interiores o confinados DEBEN LLEVAR LOS CUBIERTOS DE CARA sobre sus narices y bocas si es probable que estén en contacto con otra persona que no comparta su hogar y se mantenga alejado aproximadamente seis pies siempre que es posible</w:t>
      </w:r>
      <w:r w:rsidRPr="002A33ED">
        <w:rPr>
          <w:rFonts w:asciiTheme="majorHAnsi" w:hAnsiTheme="majorHAnsi" w:cstheme="majorHAnsi"/>
          <w:sz w:val="22"/>
          <w:szCs w:val="22"/>
        </w:rPr>
        <w:t xml:space="preserve">. En este momento, debido a que todavía es importante conservar máscaras de grado médico o respiradores N95 para los trabajadores de la salud, a menos que una razón de salud particular lo requiera, las personas deben usar revestimientos de tela, tales como mascarillas faciales de tela, bufandas y cubiertas de pañuelos u otro material según lo recomendado por los CDC.  </w:t>
      </w:r>
    </w:p>
    <w:p w14:paraId="5917CB60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</w:p>
    <w:p w14:paraId="00E204A2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b/>
          <w:bCs/>
          <w:sz w:val="22"/>
          <w:szCs w:val="22"/>
        </w:rPr>
        <w:t>2. Las máscaras faciales de tela deben usarse correctamente para evitar contaminar las manos o la cara del usuario</w:t>
      </w:r>
      <w:r w:rsidRPr="002A33ED">
        <w:rPr>
          <w:rFonts w:asciiTheme="majorHAnsi" w:hAnsiTheme="majorHAnsi" w:cstheme="majorHAnsi"/>
          <w:sz w:val="22"/>
          <w:szCs w:val="22"/>
        </w:rPr>
        <w:t xml:space="preserve">. Antes de ponerse una máscara y después de quitarse una máscara, una persona debe limpiarse las manos con frotarse las manos a base de alcohol o jabón y agua. Las máscaras deben cambiarse y lavarse cuando estén sucias, húmedas y después de su uso. Las máscaras desgastadas pueden estar contaminadas con agentes infecciosos: mientras están en uso, evite tocar la máscara. </w:t>
      </w:r>
    </w:p>
    <w:p w14:paraId="79D87DC2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</w:p>
    <w:p w14:paraId="015D838D" w14:textId="77777777" w:rsidR="00A92DEC" w:rsidRPr="002A33ED" w:rsidRDefault="00A92DEC" w:rsidP="00A92DE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A33ED">
        <w:rPr>
          <w:rFonts w:asciiTheme="majorHAnsi" w:hAnsiTheme="majorHAnsi" w:cstheme="majorHAnsi"/>
          <w:b/>
          <w:bCs/>
          <w:sz w:val="22"/>
          <w:szCs w:val="22"/>
        </w:rPr>
        <w:t xml:space="preserve">3. La presente Directiva se aplica a cualquier entorno público interior o confinado en el que una persona se encuentra a menos de un metro de otra persona, que no comparte el mismo hogar e incluye, pero no se limita a los siguientes sectores:  </w:t>
      </w:r>
    </w:p>
    <w:p w14:paraId="7B8C71D7" w14:textId="0FE616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a. </w:t>
      </w:r>
      <w:r w:rsidR="002A33ED" w:rsidRPr="002A33ED">
        <w:rPr>
          <w:rFonts w:asciiTheme="majorHAnsi" w:hAnsiTheme="majorHAnsi" w:cstheme="majorHAnsi"/>
          <w:sz w:val="22"/>
          <w:szCs w:val="22"/>
        </w:rPr>
        <w:t>Abarrotes</w:t>
      </w:r>
      <w:r w:rsidRPr="002A33ED">
        <w:rPr>
          <w:rFonts w:asciiTheme="majorHAnsi" w:hAnsiTheme="majorHAnsi" w:cstheme="majorHAnsi"/>
          <w:sz w:val="22"/>
          <w:szCs w:val="22"/>
        </w:rPr>
        <w:t xml:space="preserve">, farmacias y otros minoristas que venden alimentos y bebidas, incluyendo pero no limitado a tiendas de comestibles, tiendas de esquina y tiendas de conveniencia (incluyendo tiendas de licores que venden alimentos), mercados de agricultores, bancos de alimentos, granjas y puestos de productos, supermercados, tiendas de "caja grande" que venden comestibles y artículos esenciales y establecimientos minoristas de alimentos similares.  </w:t>
      </w:r>
    </w:p>
    <w:p w14:paraId="55F83918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b. Tiendas minoristas comerciales que abastecen a sectores esenciales, incluyendo tiendas de conveniencia, tiendas de suministros para mascotas, suministros y reparaciones de automóviles, mejora de hardware y hogar, tiendas de jardinería y ventas de interiores para viveros que apoyan el cultivo y la producción de alimentos, tiendas de suministros de oficina que apoyan a los minoristas de electrodomésticos y de trabajo desde el hogar.</w:t>
      </w:r>
    </w:p>
    <w:p w14:paraId="2EB339FE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c. Restaurantes, transporte de alimentos, operaciones de alimentos de servicio rápido, incluyendo la preparación de alimentos, la realización y la entrega de alimentos.</w:t>
      </w:r>
    </w:p>
    <w:p w14:paraId="2CC48ACF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d. Tiendas minoristas de cannabis y suplementos dietéticos; tiendas minoristas de licor, tabaco y vapor.</w:t>
      </w:r>
    </w:p>
    <w:p w14:paraId="0B0DF042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lastRenderedPageBreak/>
        <w:t>e. Peluquerías y uñas y peluquerías.</w:t>
      </w:r>
    </w:p>
    <w:p w14:paraId="30C6CB46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f. Ubicaciones inmobiliarias (incluyendo en la oficina, vehículo, demostraciones de la casa, si es necesario).</w:t>
      </w:r>
    </w:p>
    <w:p w14:paraId="55711837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g. Servicios de atención veterinaria y aseo de mascotas.</w:t>
      </w:r>
    </w:p>
    <w:p w14:paraId="6EBAE360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h. Servicios domésticos en el hogar (niñeras, limpieza de la casa, etc.). </w:t>
      </w:r>
    </w:p>
    <w:p w14:paraId="12B1BB36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i. Autobuses, tren ligero y otras formas de transporte público.  </w:t>
      </w:r>
    </w:p>
    <w:p w14:paraId="4767B84B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j. Trabajo agrícola y vivienda. </w:t>
      </w:r>
    </w:p>
    <w:p w14:paraId="7115FF7E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k. Procesamiento de alimentos y productos (procesamiento congelado, clasificación y envasado de productos, etc.).</w:t>
      </w:r>
    </w:p>
    <w:p w14:paraId="73F77457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L. Cualquier fabricación de interior y construcción y remodelación de interiores.</w:t>
      </w:r>
    </w:p>
    <w:p w14:paraId="0A7F57F6" w14:textId="23CDBE98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</w:p>
    <w:p w14:paraId="15080F13" w14:textId="77777777" w:rsidR="00A92DEC" w:rsidRPr="002A33ED" w:rsidRDefault="00A92DEC" w:rsidP="00A92DE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A33ED">
        <w:rPr>
          <w:rFonts w:asciiTheme="majorHAnsi" w:hAnsiTheme="majorHAnsi" w:cstheme="majorHAnsi"/>
          <w:b/>
          <w:bCs/>
          <w:sz w:val="22"/>
          <w:szCs w:val="22"/>
        </w:rPr>
        <w:t>4. Podrán excluirse de la presente Directiva las siguientes personas:</w:t>
      </w:r>
    </w:p>
    <w:p w14:paraId="71371913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a. Cualquier niño de dos años o menos;  </w:t>
      </w:r>
    </w:p>
    <w:p w14:paraId="69C9F18D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b. Cualquier niño de 12 años o menos a menos que los padres y cuidadores supervisen el uso de coberturas faciales por parte de los niños para evitar el uso indebido;</w:t>
      </w:r>
    </w:p>
    <w:p w14:paraId="03448D9C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c. Cualquier persona que tenga una discapacidad física que evite usar o quitar fácilmente una cubierta facial; </w:t>
      </w:r>
    </w:p>
    <w:p w14:paraId="77F955E9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d. Cualquier persona sorda y que utilice movimientos faciales y bucales como parte de la comunicación, o una persona que se está comunicando con una persona sorda y utiliza los movimientos faciales y bucales como parte de la comunicación; </w:t>
      </w:r>
    </w:p>
    <w:p w14:paraId="3361CD59" w14:textId="77777777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 xml:space="preserve">e. Cualquier persona que haya sido advertida por un profesional médico que llevar una cubierta facial puede representar un riesgo para esa persona por razones relacionadas con la salud; </w:t>
      </w:r>
    </w:p>
    <w:p w14:paraId="27159407" w14:textId="60353EFF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  <w:r w:rsidRPr="002A33ED">
        <w:rPr>
          <w:rFonts w:asciiTheme="majorHAnsi" w:hAnsiTheme="majorHAnsi" w:cstheme="majorHAnsi"/>
          <w:sz w:val="22"/>
          <w:szCs w:val="22"/>
        </w:rPr>
        <w:t>f. Cualquier persona que tenga problemas para respirar o esté inconsciente, incapacitada o no pueda quitar la cubierta de la cara sin ayuda.</w:t>
      </w:r>
    </w:p>
    <w:p w14:paraId="75BEA8D5" w14:textId="2E5FD84F" w:rsidR="00A92DEC" w:rsidRPr="002A33ED" w:rsidRDefault="00A92DEC" w:rsidP="00A92DEC">
      <w:pPr>
        <w:rPr>
          <w:rFonts w:asciiTheme="majorHAnsi" w:hAnsiTheme="majorHAnsi" w:cstheme="majorHAnsi"/>
          <w:sz w:val="22"/>
          <w:szCs w:val="22"/>
        </w:rPr>
      </w:pPr>
    </w:p>
    <w:p w14:paraId="2DFA1BF4" w14:textId="0740264C" w:rsidR="00A92DEC" w:rsidRPr="00D7232A" w:rsidRDefault="00A92DEC" w:rsidP="00A92DEC">
      <w:pPr>
        <w:rPr>
          <w:rFonts w:asciiTheme="majorHAnsi" w:hAnsiTheme="majorHAnsi" w:cstheme="majorHAnsi"/>
        </w:rPr>
      </w:pPr>
      <w:r w:rsidRPr="002A33ED">
        <w:rPr>
          <w:rFonts w:asciiTheme="majorHAnsi" w:hAnsiTheme="majorHAnsi" w:cstheme="majorHAnsi"/>
          <w:b/>
          <w:bCs/>
          <w:sz w:val="22"/>
          <w:szCs w:val="22"/>
        </w:rPr>
        <w:t>5. El uso de revestimiento facial no sustituye la necesidad de practicar el distanciamiento físico y la adherido a las limitaciones de fase II del Plan</w:t>
      </w:r>
      <w:r w:rsidRPr="002A33ED">
        <w:rPr>
          <w:rFonts w:asciiTheme="majorHAnsi" w:hAnsiTheme="majorHAnsi" w:cstheme="majorHAnsi"/>
          <w:sz w:val="22"/>
          <w:szCs w:val="22"/>
        </w:rPr>
        <w:t xml:space="preserve"> (mantenerse alejado de las personas enfermas, permanecer en casa y evitar todas las actividades no permitidas en la fase II), el lavado frecuente de manos, la limpieza regular de todas las superficies, las barreras ambientales, evitar tocar la cara, etc.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b/>
          <w:bCs/>
          <w:sz w:val="22"/>
          <w:szCs w:val="22"/>
        </w:rPr>
        <w:t>6. Nada en la presente Directiva reduce o elimina los requisitos impuestos por otras directivas y/u órdenes</w:t>
      </w:r>
      <w:r w:rsidRPr="002A33ED">
        <w:rPr>
          <w:rFonts w:asciiTheme="majorHAnsi" w:hAnsiTheme="majorHAnsi" w:cstheme="majorHAnsi"/>
          <w:sz w:val="22"/>
          <w:szCs w:val="22"/>
        </w:rPr>
        <w:t xml:space="preserve"> del Oficial de Salud Local, Gobernador u otra agencia regulatoria local, estatal o federal, incluidas las directivas específicas para empleadores y negocios de los propietarios de negocios o del Departamento de Trabajo e Industrias del Estado de Washington, y cualquier requisito previo para usar máscaras faciales o cubrciones en entornos de atención médica. 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b/>
          <w:bCs/>
          <w:sz w:val="22"/>
          <w:szCs w:val="22"/>
        </w:rPr>
        <w:t>7. Todos los establecimientos comerciales en el condado de Adams están dirigidos a la señalización posterior aconsejando a las personas a usar cubiertas faciales en las instalaciones.</w:t>
      </w:r>
      <w:r w:rsidRPr="002A33ED">
        <w:rPr>
          <w:rFonts w:asciiTheme="majorHAnsi" w:hAnsiTheme="majorHAnsi" w:cstheme="majorHAnsi"/>
          <w:sz w:val="22"/>
          <w:szCs w:val="22"/>
        </w:rPr>
        <w:t xml:space="preserve"> Los establecimientos pueden descargar un ejemplo de signo para este propósito en </w:t>
      </w:r>
      <w:hyperlink r:id="rId5" w:tgtFrame="_blank" w:history="1">
        <w:r w:rsidRPr="002A33ED">
          <w:rPr>
            <w:rStyle w:val="Hyperlink"/>
            <w:rFonts w:asciiTheme="majorHAnsi" w:hAnsiTheme="majorHAnsi" w:cstheme="majorHAnsi"/>
            <w:sz w:val="22"/>
            <w:szCs w:val="22"/>
          </w:rPr>
          <w:t>https://www.co.adams.wa.us/government/covid-19.php</w:t>
        </w:r>
      </w:hyperlink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b/>
          <w:bCs/>
          <w:sz w:val="22"/>
          <w:szCs w:val="22"/>
        </w:rPr>
        <w:t>8. En la actualidad, la violación de la presente Directiva no crea motivos para detener, dictar una citación, detener o enjuiciar a personas que no la cumplan</w:t>
      </w:r>
      <w:r w:rsidRPr="002A33ED">
        <w:rPr>
          <w:rFonts w:asciiTheme="majorHAnsi" w:hAnsiTheme="majorHAnsi" w:cstheme="majorHAnsi"/>
          <w:sz w:val="22"/>
          <w:szCs w:val="22"/>
        </w:rPr>
        <w:t xml:space="preserve">. La presente Directiva puede y debe utilizarse para educar, alentar y </w:t>
      </w:r>
      <w:r w:rsidR="002A33ED" w:rsidRPr="002A33ED">
        <w:rPr>
          <w:rFonts w:asciiTheme="majorHAnsi" w:hAnsiTheme="majorHAnsi" w:cstheme="majorHAnsi"/>
          <w:sz w:val="22"/>
          <w:szCs w:val="22"/>
        </w:rPr>
        <w:t xml:space="preserve">convenser </w:t>
      </w:r>
      <w:r w:rsidRPr="002A33ED">
        <w:rPr>
          <w:rFonts w:asciiTheme="majorHAnsi" w:hAnsiTheme="majorHAnsi" w:cstheme="majorHAnsi"/>
          <w:sz w:val="22"/>
          <w:szCs w:val="22"/>
        </w:rPr>
        <w:t xml:space="preserve">a las personas a que lleven revestimientos faciales. 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b/>
          <w:bCs/>
          <w:sz w:val="22"/>
          <w:szCs w:val="22"/>
        </w:rPr>
        <w:t>Insto encarecidamente a todas las personas del condado de Adams a que cumplan voluntariamente esta Directiva sin demora.</w:t>
      </w:r>
      <w:r w:rsidRPr="002A33ED">
        <w:rPr>
          <w:rFonts w:asciiTheme="majorHAnsi" w:hAnsiTheme="majorHAnsi" w:cstheme="majorHAnsi"/>
          <w:sz w:val="22"/>
          <w:szCs w:val="22"/>
        </w:rPr>
        <w:t xml:space="preserve"> 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lastRenderedPageBreak/>
        <w:t>La presente Directiva EXPIRA, previa determinación del oficial de salud del condado de Adams, de que ya no es necesario cubrir la cara debido a COVID-19.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  <w:t>Alexander L. Brzezny, MD, MPH, FAAFP</w:t>
      </w:r>
      <w:r w:rsidRPr="002A33ED">
        <w:rPr>
          <w:rFonts w:asciiTheme="majorHAnsi" w:hAnsiTheme="majorHAnsi" w:cstheme="majorHAnsi"/>
          <w:sz w:val="22"/>
          <w:szCs w:val="22"/>
        </w:rPr>
        <w:br/>
        <w:t>Oficial de Salud del Condado de Adams</w:t>
      </w:r>
      <w:r w:rsidRPr="002A33ED">
        <w:rPr>
          <w:rFonts w:asciiTheme="majorHAnsi" w:hAnsiTheme="majorHAnsi" w:cstheme="majorHAnsi"/>
          <w:sz w:val="22"/>
          <w:szCs w:val="22"/>
        </w:rPr>
        <w:br/>
      </w:r>
      <w:r w:rsidRPr="002A33ED">
        <w:rPr>
          <w:rFonts w:asciiTheme="majorHAnsi" w:hAnsiTheme="majorHAnsi" w:cstheme="majorHAnsi"/>
          <w:sz w:val="22"/>
          <w:szCs w:val="22"/>
        </w:rPr>
        <w:br/>
        <w:t xml:space="preserve">El texto completo de esta DIRECTIVA está disponible en el sitio web del condado de Adams en </w:t>
      </w:r>
      <w:hyperlink r:id="rId6" w:tgtFrame="_blank" w:history="1">
        <w:r w:rsidRPr="002A33ED">
          <w:rPr>
            <w:rStyle w:val="Hyperlink"/>
            <w:rFonts w:asciiTheme="majorHAnsi" w:hAnsiTheme="majorHAnsi" w:cstheme="majorHAnsi"/>
            <w:sz w:val="22"/>
            <w:szCs w:val="22"/>
          </w:rPr>
          <w:t>https://www.co.adams.wa.us/government/covid-19.php</w:t>
        </w:r>
      </w:hyperlink>
      <w:r w:rsidRPr="002A33ED">
        <w:rPr>
          <w:rFonts w:asciiTheme="majorHAnsi" w:hAnsiTheme="majorHAnsi" w:cstheme="majorHAnsi"/>
          <w:sz w:val="22"/>
          <w:szCs w:val="22"/>
        </w:rPr>
        <w:br/>
      </w:r>
      <w:r w:rsidRPr="00A92DEC">
        <w:rPr>
          <w:rFonts w:asciiTheme="majorHAnsi" w:hAnsiTheme="majorHAnsi" w:cstheme="majorHAnsi"/>
        </w:rPr>
        <w:br/>
      </w:r>
    </w:p>
    <w:sectPr w:rsidR="00A92DEC" w:rsidRPr="00D7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zExNbc0MTcxNjJV0lEKTi0uzszPAykwrAUAOto3hywAAAA="/>
  </w:docVars>
  <w:rsids>
    <w:rsidRoot w:val="00D7232A"/>
    <w:rsid w:val="001C358E"/>
    <w:rsid w:val="002A33ED"/>
    <w:rsid w:val="00A92DEC"/>
    <w:rsid w:val="00D7232A"/>
    <w:rsid w:val="00E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9E47"/>
  <w15:chartTrackingRefBased/>
  <w15:docId w15:val="{6A15176A-F8F1-48D9-A293-343C416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32A"/>
    <w:pPr>
      <w:keepNext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32A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A92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Ans&amp;from=&amp;to=es&amp;a=https%3A%2F%2Fwww.co.adams.wa.us%2Fgovernment%2Fcovid-19.php" TargetMode="External"/><Relationship Id="rId5" Type="http://schemas.openxmlformats.org/officeDocument/2006/relationships/hyperlink" Target="https://ssl.microsofttranslator.com/bv.aspx?ref=TAns&amp;from=&amp;to=es&amp;a=https%3A%2F%2Fwww.co.adams.wa.us%2Fgovernment%2Fcovid-19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Varela</dc:creator>
  <cp:keywords/>
  <dc:description/>
  <cp:lastModifiedBy>Eguavoen Alex Igbinoba</cp:lastModifiedBy>
  <cp:revision>2</cp:revision>
  <dcterms:created xsi:type="dcterms:W3CDTF">2020-05-27T17:34:00Z</dcterms:created>
  <dcterms:modified xsi:type="dcterms:W3CDTF">2020-05-27T17:34:00Z</dcterms:modified>
</cp:coreProperties>
</file>